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D4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415AD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1 电阻的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测量</w:t>
      </w:r>
    </w:p>
    <w:p w14:paraId="3CEF132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</w:rPr>
        <w:t>伏安法</w:t>
      </w:r>
    </w:p>
    <w:p w14:paraId="43968AD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伏安法测电阻的两种电路接法分别为电流表内接法和电流表外接法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电流表内、外接法的选择原则为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大内小外</w:t>
      </w:r>
      <w:r>
        <w:rPr>
          <w:rFonts w:hint="eastAsia" w:ascii="Times New Roman" w:hAnsi="Times New Roman" w:cs="Times New Roman"/>
          <w:lang w:eastAsia="zh-CN"/>
        </w:rPr>
        <w:t>”，</w:t>
      </w:r>
      <w:r>
        <w:rPr>
          <w:rFonts w:hint="default" w:ascii="Times New Roman" w:hAnsi="Times New Roman" w:cs="Times New Roman" w:eastAsiaTheme="minorEastAsia"/>
        </w:rPr>
        <w:t>即测大电阻用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内接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内接法测量值偏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测小电阻用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外接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外接法测量值偏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D2989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</w:rPr>
        <w:t>伏伏法</w:t>
      </w:r>
    </w:p>
    <w:p w14:paraId="5D9FF23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(1)如图甲所示，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将两电压表串联</w:t>
      </w:r>
      <w:r>
        <w:rPr>
          <w:rFonts w:hint="default" w:ascii="Times New Roman" w:hAnsi="Times New Roman" w:cs="Times New Roman" w:eastAsiaTheme="minorEastAsia"/>
        </w:rPr>
        <w:t>，V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已知，则可测出V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begin"/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eq \f(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2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,U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1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)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end"/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t>R</w: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lang w:eastAsia="zh-CN"/>
        </w:rPr>
        <w:t>；</w:t>
      </w:r>
    </w:p>
    <w:p w14:paraId="34B40DB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(2)如图乙所示，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将电压表V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lang w:val="en-US" w:eastAsia="zh-CN"/>
        </w:rPr>
        <w:t>串联后再与V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>并联，</w:t>
      </w:r>
      <w:r>
        <w:rPr>
          <w:rFonts w:hint="default" w:ascii="Times New Roman" w:hAnsi="Times New Roman" w:cs="Times New Roman" w:eastAsiaTheme="minorEastAsia"/>
        </w:rPr>
        <w:t>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</w:rPr>
        <w:t>定值电阻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</w:rPr>
        <w:t>已知，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则可测出V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den>
        </m:f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FF0000"/>
                <w:u w:val="non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0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72D6E37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1003935" cy="1150620"/>
            <wp:effectExtent l="0" t="0" r="5715" b="11430"/>
            <wp:docPr id="6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97560" cy="1198880"/>
            <wp:effectExtent l="0" t="0" r="2540" b="1270"/>
            <wp:docPr id="6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3E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</w:rPr>
        <w:t>安安法</w:t>
      </w:r>
    </w:p>
    <w:p w14:paraId="7884FEB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已知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</w:t>
      </w:r>
      <w:r>
        <w:rPr>
          <w:rFonts w:hint="default" w:ascii="Times New Roman" w:hAnsi="Times New Roman" w:cs="Times New Roman" w:eastAsiaTheme="minorEastAsia"/>
        </w:rPr>
        <w:t>求出电流表A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sz w:val="36"/>
                <w:szCs w:val="36"/>
                <w:u w:val="none"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sz w:val="36"/>
                        <w:szCs w:val="36"/>
                        <w:u w:val="none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i/>
                        <w:color w:val="FF0000"/>
                        <w:sz w:val="36"/>
                        <w:szCs w:val="36"/>
                        <w:u w:val="none"/>
                        <w:vertAlign w:val="subscript"/>
                        <w:lang w:val="en-US" w:eastAsia="zh-CN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sz w:val="36"/>
                        <w:szCs w:val="36"/>
                        <w:u w:val="none"/>
                        <w:vertAlign w:val="subscript"/>
                        <w:lang w:val="en-US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sz w:val="36"/>
                        <w:szCs w:val="36"/>
                        <w:u w:val="none"/>
                        <w:vertAlign w:val="subscript"/>
                        <w:lang w:val="en-US" w:eastAsia="zh-CN"/>
                      </w:rPr>
                      <m:t xml:space="preserve">1 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sz w:val="36"/>
                        <w:szCs w:val="36"/>
                        <w:u w:val="none"/>
                        <w:vertAlign w:val="subscript"/>
                        <w:lang w:val="en-US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sz w:val="36"/>
                    <w:szCs w:val="36"/>
                    <w:u w:val="none"/>
                    <w:vertAlign w:val="subscript"/>
                    <w:lang w:val="en-US" w:eastAsia="zh-CN"/>
                  </w:rPr>
                  <m:t xml:space="preserve">1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sz w:val="36"/>
                <w:szCs w:val="36"/>
                <w:u w:val="none"/>
                <w:vertAlign w:val="subscript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sz w:val="36"/>
                    <w:szCs w:val="36"/>
                    <w:u w:val="none"/>
                    <w:vertAlign w:val="subscript"/>
                    <w:lang w:val="en-US" w:eastAsia="zh-CN"/>
                  </w:rPr>
                  <m:t xml:space="preserve">2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sz w:val="36"/>
                    <w:szCs w:val="36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sz w:val="36"/>
                <w:szCs w:val="36"/>
                <w:u w:val="none"/>
                <w:vertAlign w:val="subscript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AC065B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</w:rPr>
        <w:t>(2）如图乙所示，将电流表 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</w:rPr>
        <w:t>并联后再与电流表A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串联</w:t>
      </w:r>
      <w:r>
        <w:rPr>
          <w:rFonts w:hint="default" w:ascii="Times New Roman" w:hAnsi="Times New Roman" w:cs="Times New Roman" w:eastAsiaTheme="minorEastAsia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vertAlign w:val="baseli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已知，则</w:t>
      </w:r>
      <w:r>
        <w:rPr>
          <w:rFonts w:hint="default" w:ascii="Times New Roman" w:hAnsi="Times New Roman" w:cs="Times New Roman" w:eastAsiaTheme="minorEastAsia"/>
          <w:lang w:val="en-US" w:eastAsia="zh-CN"/>
        </w:rPr>
        <w:t>可</w:t>
      </w:r>
      <w:r>
        <w:rPr>
          <w:rFonts w:hint="default" w:ascii="Times New Roman" w:hAnsi="Times New Roman" w:cs="Times New Roman" w:eastAsiaTheme="minorEastAsia"/>
        </w:rPr>
        <w:t>求出A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</m:ctrlPr>
                  </m:sSubPr>
                  <m:e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/>
                        <w:iCs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4"/>
                        <w:szCs w:val="24"/>
                        <w:u w:val="none"/>
                        <w:vertAlign w:val="baseline"/>
                        <w:lang w:val="en-US" w:eastAsia="zh-CN" w:bidi="ar-SA"/>
                      </w:rPr>
                    </m:ctrlPr>
                  </m:sub>
                </m:s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-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m:t>)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4"/>
                    <w:szCs w:val="24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none"/>
          <w:vertAlign w:val="baseline"/>
          <w:lang w:val="en-US" w:eastAsia="zh-CN" w:bidi="ar-SA"/>
        </w:rPr>
        <w:t>。</w:t>
      </w:r>
      <w:bookmarkStart w:id="0" w:name="_GoBack"/>
      <w:bookmarkEnd w:id="0"/>
    </w:p>
    <w:p w14:paraId="1AC9374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03580" cy="951230"/>
            <wp:effectExtent l="0" t="0" r="1270" b="1270"/>
            <wp:docPr id="7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24535" cy="1049020"/>
            <wp:effectExtent l="0" t="0" r="18415" b="17780"/>
            <wp:docPr id="7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2F61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</w:rPr>
        <w:t>半偏法</w:t>
      </w:r>
    </w:p>
    <w:p w14:paraId="22607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（1）半偏法测电流表内阻</w:t>
      </w:r>
    </w:p>
    <w:p w14:paraId="1CAD4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7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1AC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②半偏法测电流表内阻的误差分析</w:t>
      </w:r>
    </w:p>
    <w:p w14:paraId="23B4D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287CA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0AF82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22F51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7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（2）半偏法测电压表内阻</w:t>
      </w:r>
    </w:p>
    <w:p w14:paraId="668F9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4773A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②半偏法测电压表内阻的误差分析</w:t>
      </w:r>
    </w:p>
    <w:p w14:paraId="25E633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</w:t>
      </w:r>
    </w:p>
    <w:p w14:paraId="5A5BB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的电压表的内阻。</w:t>
      </w:r>
    </w:p>
    <w:p w14:paraId="2A2C3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47CE4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5.等效替代法</w:t>
      </w:r>
    </w:p>
    <w:p w14:paraId="54528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7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原理：如图所示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'使两表均有适当的示数,并记下电流表A的示数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'不变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使电流表A的示数仍为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记下此时电阻箱的阻值R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则待测电流表A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的内阻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4CBB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6.电桥法测电阻</w:t>
      </w:r>
    </w:p>
    <w:p w14:paraId="7E1C9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38100</wp:posOffset>
            </wp:positionV>
            <wp:extent cx="1611630" cy="1200785"/>
            <wp:effectExtent l="0" t="0" r="7620" b="18415"/>
            <wp:wrapSquare wrapText="bothSides"/>
            <wp:docPr id="4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为待测电阻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的阻值，当电流表G的读数为零时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 xml:space="preserve">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，可得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R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23B480B"/>
    <w:p w14:paraId="5980E162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183CF7"/>
    <w:rsid w:val="30E57BC8"/>
    <w:rsid w:val="31837ABD"/>
    <w:rsid w:val="33A44248"/>
    <w:rsid w:val="37BB437D"/>
    <w:rsid w:val="3A091644"/>
    <w:rsid w:val="3A637FA5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1020</Words>
  <Characters>1179</Characters>
  <Lines>0</Lines>
  <Paragraphs>0</Paragraphs>
  <TotalTime>3</TotalTime>
  <ScaleCrop>false</ScaleCrop>
  <LinksUpToDate>false</LinksUpToDate>
  <CharactersWithSpaces>1277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FD0269F398884CC38EEEDC1E7F773161_13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